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288</w:t>
      </w:r>
    </w:p>
    <w:p>
      <w:r>
        <w:t>Bundesgericht (BGE), 2020-05-20, FR</w:t>
      </w:r>
    </w:p>
    <w:p>
      <w:r>
        <w:rPr>
          <w:b/>
        </w:rPr>
        <w:t xml:space="preserve">Quelle: </w:t>
      </w:r>
      <w:r>
        <w:t>https://mcp.opencaselaw.ch/entscheid/bge_148 IV 288</w:t>
      </w:r>
    </w:p>
    <w:p>
      <w:r>
        <w:t>FR: ATF 148 IV 288</w:t>
      </w:r>
    </w:p>
    <w:p>
      <w:r>
        <w:t>IT: DTF 148 IV 288</w:t>
      </w:r>
    </w:p>
    <w:p>
      <w:pPr>
        <w:pStyle w:val="Heading2"/>
      </w:pPr>
      <w:r>
        <w:t>Regeste</w:t>
      </w:r>
    </w:p>
    <w:p>
      <w:r>
        <w:t>Regeste Art. 110 Abs. 4 und Art. 251 Ziff. 1 StGB; Art. 269d und 270 Abs. 2 OR; Art. 19 Abs. 1 VMWG; Urkundenfälschung; Formular im Hinblick auf den Abschluss eines neuen Mietvertrages. Das in Art. 269d OR und Art. 19 VMWG vorgeschriebene Formular, dessen Verwendung in gewissen Kantonen für den Abschluss von neuen Mietverträgen für obligatorisch erklärt wurde (vgl. Art. 270 Abs. 2 OR), stellt eine Urkunde im Sinne von Art. 110 Abs. 4 StGB dar. Ein Formular, das falsche Angaben zum vom früheren Mieter bezahlten Mietzins enthält, kann daher unter den Tatbestand der Urkundenfälschung im Sinne von Art. 251 Ziff. 1 StGB fallen (E. 4.4).</w:t>
      </w:r>
    </w:p>
    <w:p>
      <w:pPr>
        <w:pStyle w:val="Heading2"/>
      </w:pPr>
      <w:r>
        <w:t>Erwägungen</w:t>
      </w:r>
    </w:p>
    <w:p>
      <w:r>
        <w:rPr>
          <w:b/>
        </w:rPr>
        <w:t>E. 4</w:t>
      </w:r>
    </w:p>
    <w:p>
      <w:r>
        <w:t>(...)</w:t>
      </w:r>
    </w:p>
    <w:p>
      <w:r>
        <w:rPr>
          <w:b/>
        </w:rPr>
        <w:t>E. 4.4.1</w:t>
      </w:r>
    </w:p>
    <w:p>
      <w:r>
        <w:t>En cas de pénurie de logements, les cantons peuvent rendre obligatoire pour les baux d'habitations, sur tout ou partie de leur teritoire, l'usage de la formule officielle mentionnée à l' art. 269d CO , lors de la conclusion de tout nouveau bail ( art. 270 al. 2 CO ). L'usage de la formule officielle poursuit dans ce contexte un objectif de protection du locataire. Elle a ainsi pour but, d'une part, d'informer le locataire de sa possibilité de saisir l'autorité de conciliation afin de contester le montant du loyer en lui fournissant toutes les indications utiles et, d'autre part, à empêcher les hausses abusives de loyer lors d'un changement de locataire, de sorte que l'indication du loyer versé par le précédent locataire doit y figurer ( ATF 140 III 586 consid. 3.1 et les références citées).</w:t>
      </w:r>
    </w:p>
    <w:p>
      <w:r>
        <w:rPr>
          <w:b/>
        </w:rPr>
        <w:t>E. 4.4.2</w:t>
      </w:r>
    </w:p>
    <w:p>
      <w:r>
        <w:t>Il n'est pas contesté qu'au moment des faits, en application de l' art. 270 al. 2 CO , le canton de Vaud avait rendu obligatoire l'usage de la formule officielle sur son territoire, à tout le moins s'agissant BGE 148 IV 288 S. 291 des communes de Lausanne et de Morges (cf. art. 1 al. 1 et 3 al. 1 de la loi cantonale du 7 mars 1993 sur l'utilisation d'une formule officielle au changement de locataire [LFOCL; BLV 221.315]). L'art. 2 LFOCL précise que la formule est agréée par le canton et doit contenir la mention du montant du loyer et des frais accessoires dus par le précédent locataire, de la date de leur entrée en vigueur, du montant du nouveau loyer et des nouveaux frais accessoires, des motifs précis de la hausse éventuelle, du droit de contestation du locataire au sens de l' art. 270 al. 1 CO ainsi que du délai de contestation et de l'adresse des commissions de conciliation en matière de baux à loyer. Ces indications correspondent pour l'essentiel à celles énumérées par l' art. 19 al. 1 OBLF .</w:t>
      </w:r>
    </w:p>
    <w:p>
      <w:r>
        <w:rPr>
          <w:b/>
        </w:rPr>
        <w:t>E. 4.4.3</w:t>
      </w:r>
    </w:p>
    <w:p>
      <w:r>
        <w:t>Au regard des caractéristiques de la formule officielle, dont le caractère obligatoire et le contenu sont en l'occurrence strictement définis par la législation, il apparaît indéniable que ce document se voit conférer une valeur probante accrue, le locataire destinataire devant ainsi pouvoir raisonnablement s'y fier au moment d'envisager une contestation du loyer initial, sans avoir à cet égard à vérifier l'exactitude des informations données par le bailleur quant au montant du loyer précédemment payé par l'ancien locataire. Il faut de surcroît prendre en considération que, selon la jurisprudence, la notification viciée du loyer initial par le bailleur entraîne en principe la nullité partielle du bail en tant qu'il porte sur le montant du loyer (cf. ATF 140 III 583 consid. 3.2.1; ATF 124 III 62 consid. 2a; ATF 120 II 341 consid. 5d). C'est à cet égard en vain que le recourant soutient que le bailleur n'a "aucune obligation particulière de vérité" envers le locataire. On ne voit pas non plus ce que le recourant pourait déduire de l'article de doctrine qu'il produit (cf. NIGGLI/MUSKENS, Unwahre Angaben im Formular A als Falschbeurkundung, in Droit pénal et criminologie, Mélanges en l'honneur de Nicolas Queloz, 2020, p. 181), les critiques qui y sont opérées en lien avec la jurisprudence relative au formulaire A, ci-avant évoquée, n'étant pas d'emblée transposables au cas de la formule officielle prévue en droit du bail à loyer. Cela étant, au regard des circonstances décrites ci-avant, la cour cantonale n'a pas violé le droit fédéral en considérant que les formules officielles prévues par la législation en matière de droit du bail constituaient des titres au sens des art. 110 ch. 4 et 251 CP . BGE 148 IV 288 S. 292</w:t>
      </w:r>
    </w:p>
    <w:p>
      <w:r>
        <w:rPr>
          <w:b/>
        </w:rPr>
        <w:t>E. 4.4.4</w:t>
      </w:r>
    </w:p>
    <w:p>
      <w:r>
        <w:t>Enfin, sur le plan subjectif, il apparaît qu'en cherchant à éviter aux bailleresses des procédures en contestation du loyer initial et à ainsi leur permettre, par l'emploi de formules officielles fausses quant à leur contenu, d'augmenter le rendement des immeubles, le recourant a bien agi dans le but de leur procurer un avantage illicite. La condamnation du recourant pour faux dans les titres doit dans cette mesure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